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2964" w:rsidRPr="00A32964" w:rsidRDefault="00A32964" w:rsidP="00A32964">
      <w:pPr>
        <w:pStyle w:val="Kop2"/>
        <w:numPr>
          <w:ilvl w:val="0"/>
          <w:numId w:val="0"/>
        </w:numPr>
        <w:pBdr>
          <w:top w:val="single" w:sz="4" w:space="1" w:color="auto"/>
          <w:left w:val="single" w:sz="4" w:space="4" w:color="auto"/>
          <w:bottom w:val="single" w:sz="4" w:space="1" w:color="auto"/>
          <w:right w:val="single" w:sz="4" w:space="4" w:color="auto"/>
        </w:pBdr>
        <w:spacing w:line="240" w:lineRule="auto"/>
        <w:jc w:val="both"/>
        <w:rPr>
          <w:rFonts w:ascii="Tahoma" w:hAnsi="Tahoma" w:cs="Tahoma"/>
          <w:color w:val="auto"/>
          <w:sz w:val="20"/>
          <w:szCs w:val="20"/>
          <w:lang w:val="nl-BE"/>
        </w:rPr>
      </w:pPr>
      <w:bookmarkStart w:id="0" w:name="_Toc528421944"/>
      <w:bookmarkStart w:id="1" w:name="_Toc4740293"/>
      <w:r w:rsidRPr="00A32964">
        <w:rPr>
          <w:rFonts w:ascii="Tahoma" w:hAnsi="Tahoma" w:cs="Tahoma"/>
          <w:color w:val="auto"/>
          <w:sz w:val="20"/>
          <w:szCs w:val="20"/>
          <w:lang w:val="nl-BE"/>
        </w:rPr>
        <w:t>Vervanging van de Opdrachtnem</w:t>
      </w:r>
      <w:bookmarkEnd w:id="0"/>
      <w:r w:rsidRPr="00A32964">
        <w:rPr>
          <w:rFonts w:ascii="Tahoma" w:hAnsi="Tahoma" w:cs="Tahoma"/>
          <w:color w:val="auto"/>
          <w:sz w:val="20"/>
          <w:szCs w:val="20"/>
          <w:lang w:val="nl-BE"/>
        </w:rPr>
        <w:t>er</w:t>
      </w:r>
      <w:bookmarkEnd w:id="1"/>
      <w:r>
        <w:rPr>
          <w:rFonts w:ascii="Tahoma" w:hAnsi="Tahoma" w:cs="Tahoma"/>
          <w:color w:val="auto"/>
          <w:sz w:val="20"/>
          <w:szCs w:val="20"/>
          <w:lang w:val="nl-BE"/>
        </w:rPr>
        <w:t xml:space="preserve"> - voorbeeldclausules</w:t>
      </w:r>
      <w:bookmarkStart w:id="2" w:name="_GoBack"/>
      <w:bookmarkEnd w:id="2"/>
    </w:p>
    <w:p w:rsidR="00A32964" w:rsidRPr="00A32964" w:rsidRDefault="00A32964" w:rsidP="00A32964">
      <w:pPr>
        <w:autoSpaceDE w:val="0"/>
        <w:autoSpaceDN w:val="0"/>
        <w:adjustRightInd w:val="0"/>
        <w:spacing w:after="0" w:line="240" w:lineRule="auto"/>
        <w:jc w:val="both"/>
        <w:rPr>
          <w:rFonts w:ascii="Tahoma" w:hAnsi="Tahoma" w:cs="Tahoma"/>
          <w:sz w:val="20"/>
          <w:szCs w:val="20"/>
        </w:rPr>
      </w:pPr>
    </w:p>
    <w:p w:rsidR="00A32964" w:rsidRDefault="00A32964" w:rsidP="00A32964">
      <w:pPr>
        <w:autoSpaceDE w:val="0"/>
        <w:autoSpaceDN w:val="0"/>
        <w:adjustRightInd w:val="0"/>
        <w:spacing w:after="0" w:line="240" w:lineRule="auto"/>
        <w:jc w:val="both"/>
        <w:rPr>
          <w:rFonts w:ascii="Tahoma" w:hAnsi="Tahoma" w:cs="Tahoma"/>
          <w:sz w:val="20"/>
          <w:szCs w:val="20"/>
        </w:rPr>
      </w:pPr>
      <w:r w:rsidRPr="00A32964">
        <w:rPr>
          <w:rFonts w:ascii="Tahoma" w:hAnsi="Tahoma" w:cs="Tahoma"/>
          <w:sz w:val="20"/>
          <w:szCs w:val="20"/>
        </w:rPr>
        <w:t>De Aanbestedende Overheid behoudt zich uitdrukkelijk het recht voor om, zonder nieuwe plaatsingsprocedure, over te gaan tot vervanging van de gegunde Opdrachtnemer, wanneer:</w:t>
      </w:r>
      <w:bookmarkStart w:id="3" w:name="_Hlk510772893"/>
    </w:p>
    <w:p w:rsidR="00A32964" w:rsidRPr="00A32964" w:rsidRDefault="00A32964" w:rsidP="00A32964">
      <w:pPr>
        <w:autoSpaceDE w:val="0"/>
        <w:autoSpaceDN w:val="0"/>
        <w:adjustRightInd w:val="0"/>
        <w:spacing w:after="0" w:line="240" w:lineRule="auto"/>
        <w:jc w:val="both"/>
        <w:rPr>
          <w:rFonts w:ascii="Tahoma" w:hAnsi="Tahoma" w:cs="Tahoma"/>
          <w:sz w:val="20"/>
          <w:szCs w:val="20"/>
        </w:rPr>
      </w:pPr>
    </w:p>
    <w:p w:rsidR="00A32964" w:rsidRDefault="00A32964" w:rsidP="00A32964">
      <w:pPr>
        <w:numPr>
          <w:ilvl w:val="0"/>
          <w:numId w:val="4"/>
        </w:numPr>
        <w:spacing w:after="0" w:line="240" w:lineRule="auto"/>
        <w:jc w:val="both"/>
        <w:rPr>
          <w:rFonts w:ascii="Tahoma" w:hAnsi="Tahoma" w:cs="Tahoma"/>
          <w:sz w:val="20"/>
          <w:szCs w:val="20"/>
        </w:rPr>
      </w:pPr>
      <w:r w:rsidRPr="00A32964">
        <w:rPr>
          <w:rFonts w:ascii="Tahoma" w:hAnsi="Tahoma" w:cs="Tahoma"/>
          <w:sz w:val="20"/>
          <w:szCs w:val="20"/>
        </w:rPr>
        <w:t>Het gaat om een rechtsopvolging onder algemene of gedeeltelijke titel van de Opdrachtnemer, ten gevolge van een herstructurering van de onderneming, door een andere Opdrachtnemer, voor zover:</w:t>
      </w:r>
    </w:p>
    <w:p w:rsidR="00A32964" w:rsidRPr="00A32964" w:rsidRDefault="00A32964" w:rsidP="00A32964">
      <w:pPr>
        <w:spacing w:after="0" w:line="240" w:lineRule="auto"/>
        <w:ind w:left="720"/>
        <w:jc w:val="both"/>
        <w:rPr>
          <w:rFonts w:ascii="Tahoma" w:hAnsi="Tahoma" w:cs="Tahoma"/>
          <w:sz w:val="20"/>
          <w:szCs w:val="20"/>
        </w:rPr>
      </w:pPr>
    </w:p>
    <w:p w:rsidR="00A32964" w:rsidRPr="00A32964" w:rsidRDefault="00A32964" w:rsidP="00A32964">
      <w:pPr>
        <w:numPr>
          <w:ilvl w:val="0"/>
          <w:numId w:val="2"/>
        </w:numPr>
        <w:spacing w:after="0" w:line="240" w:lineRule="auto"/>
        <w:jc w:val="both"/>
        <w:rPr>
          <w:rFonts w:ascii="Tahoma" w:hAnsi="Tahoma" w:cs="Tahoma"/>
          <w:sz w:val="20"/>
          <w:szCs w:val="20"/>
        </w:rPr>
      </w:pPr>
      <w:r w:rsidRPr="00A32964">
        <w:rPr>
          <w:rFonts w:ascii="Tahoma" w:hAnsi="Tahoma" w:cs="Tahoma"/>
          <w:sz w:val="20"/>
          <w:szCs w:val="20"/>
        </w:rPr>
        <w:t>De opvolger voldoet aan de oorspronkelijk vastgestelde voorwaarden inzake kwalitatieve selectie;</w:t>
      </w:r>
    </w:p>
    <w:p w:rsidR="00A32964" w:rsidRPr="00A32964" w:rsidRDefault="00A32964" w:rsidP="00A32964">
      <w:pPr>
        <w:numPr>
          <w:ilvl w:val="0"/>
          <w:numId w:val="2"/>
        </w:numPr>
        <w:spacing w:after="0" w:line="240" w:lineRule="auto"/>
        <w:jc w:val="both"/>
        <w:rPr>
          <w:rFonts w:ascii="Tahoma" w:hAnsi="Tahoma" w:cs="Tahoma"/>
          <w:sz w:val="20"/>
          <w:szCs w:val="20"/>
        </w:rPr>
      </w:pPr>
      <w:r w:rsidRPr="00A32964">
        <w:rPr>
          <w:rFonts w:ascii="Tahoma" w:hAnsi="Tahoma" w:cs="Tahoma"/>
          <w:sz w:val="20"/>
          <w:szCs w:val="20"/>
        </w:rPr>
        <w:t>Deze vervanging geen andere wezenlijke wijzigingen in de Opdracht meebrengt;</w:t>
      </w:r>
    </w:p>
    <w:p w:rsidR="00A32964" w:rsidRPr="00A32964" w:rsidRDefault="00A32964" w:rsidP="00A32964">
      <w:pPr>
        <w:numPr>
          <w:ilvl w:val="0"/>
          <w:numId w:val="2"/>
        </w:numPr>
        <w:spacing w:after="0" w:line="240" w:lineRule="auto"/>
        <w:jc w:val="both"/>
        <w:rPr>
          <w:rFonts w:ascii="Tahoma" w:hAnsi="Tahoma" w:cs="Tahoma"/>
          <w:sz w:val="20"/>
          <w:szCs w:val="20"/>
        </w:rPr>
      </w:pPr>
      <w:r w:rsidRPr="00A32964">
        <w:rPr>
          <w:rFonts w:ascii="Tahoma" w:hAnsi="Tahoma" w:cs="Tahoma"/>
          <w:sz w:val="20"/>
          <w:szCs w:val="20"/>
        </w:rPr>
        <w:t>Deze vervanging niet bedoeld is om de overheidsopdrachtenreglementering te omzeilen;</w:t>
      </w:r>
    </w:p>
    <w:p w:rsidR="00A32964" w:rsidRPr="00A32964" w:rsidRDefault="00A32964" w:rsidP="00A32964">
      <w:pPr>
        <w:numPr>
          <w:ilvl w:val="0"/>
          <w:numId w:val="2"/>
        </w:numPr>
        <w:spacing w:after="0" w:line="240" w:lineRule="auto"/>
        <w:jc w:val="both"/>
        <w:rPr>
          <w:rFonts w:ascii="Tahoma" w:hAnsi="Tahoma" w:cs="Tahoma"/>
          <w:sz w:val="20"/>
          <w:szCs w:val="20"/>
        </w:rPr>
      </w:pPr>
      <w:r w:rsidRPr="00A32964">
        <w:rPr>
          <w:rFonts w:ascii="Tahoma" w:hAnsi="Tahoma" w:cs="Tahoma"/>
          <w:sz w:val="20"/>
          <w:szCs w:val="20"/>
        </w:rPr>
        <w:t>De Opdrachtgever uitdrukkelijk en voorafgaandelijk instemt met de vervanging.</w:t>
      </w:r>
    </w:p>
    <w:p w:rsidR="00A32964" w:rsidRPr="00A32964" w:rsidRDefault="00A32964" w:rsidP="00A32964">
      <w:pPr>
        <w:spacing w:line="240" w:lineRule="auto"/>
        <w:ind w:left="1069"/>
        <w:rPr>
          <w:rFonts w:ascii="Tahoma" w:hAnsi="Tahoma" w:cs="Tahoma"/>
          <w:sz w:val="20"/>
          <w:szCs w:val="20"/>
        </w:rPr>
      </w:pPr>
    </w:p>
    <w:p w:rsidR="00A32964" w:rsidRDefault="00A32964" w:rsidP="00A32964">
      <w:pPr>
        <w:numPr>
          <w:ilvl w:val="0"/>
          <w:numId w:val="4"/>
        </w:numPr>
        <w:spacing w:after="0" w:line="240" w:lineRule="auto"/>
        <w:jc w:val="both"/>
        <w:rPr>
          <w:rFonts w:ascii="Tahoma" w:hAnsi="Tahoma" w:cs="Tahoma"/>
          <w:sz w:val="20"/>
          <w:szCs w:val="20"/>
        </w:rPr>
      </w:pPr>
      <w:r w:rsidRPr="00A32964">
        <w:rPr>
          <w:rFonts w:ascii="Tahoma" w:hAnsi="Tahoma" w:cs="Tahoma"/>
          <w:sz w:val="20"/>
          <w:szCs w:val="20"/>
        </w:rPr>
        <w:t xml:space="preserve">De gegunde Opdrachtnemer in gebreke blijft. In dit geval kan de Opdracht </w:t>
      </w:r>
      <w:r w:rsidRPr="00A32964">
        <w:rPr>
          <w:rFonts w:ascii="Tahoma" w:hAnsi="Tahoma" w:cs="Tahoma"/>
          <w:i/>
          <w:sz w:val="20"/>
          <w:szCs w:val="20"/>
        </w:rPr>
        <w:t>bijvoorbeeld</w:t>
      </w:r>
      <w:r w:rsidRPr="00A32964">
        <w:rPr>
          <w:rFonts w:ascii="Tahoma" w:hAnsi="Tahoma" w:cs="Tahoma"/>
          <w:sz w:val="20"/>
          <w:szCs w:val="20"/>
        </w:rPr>
        <w:t xml:space="preserve"> overgedragen worden aan de Inschrijver die als tweede stond gerangschikt in het kader van de georganiseerde plaatsingsprocedure.  Opdat deze vervanging mogelijk zou zijn, dient aan de volgende voorwaarden voldaan te zijn:</w:t>
      </w:r>
    </w:p>
    <w:p w:rsidR="00A32964" w:rsidRPr="00A32964" w:rsidRDefault="00A32964" w:rsidP="00A32964">
      <w:pPr>
        <w:spacing w:after="0" w:line="240" w:lineRule="auto"/>
        <w:ind w:left="720"/>
        <w:jc w:val="both"/>
        <w:rPr>
          <w:rFonts w:ascii="Tahoma" w:hAnsi="Tahoma" w:cs="Tahoma"/>
          <w:sz w:val="20"/>
          <w:szCs w:val="20"/>
        </w:rPr>
      </w:pPr>
    </w:p>
    <w:p w:rsidR="00A32964" w:rsidRPr="00A32964" w:rsidRDefault="00A32964" w:rsidP="00A32964">
      <w:pPr>
        <w:numPr>
          <w:ilvl w:val="0"/>
          <w:numId w:val="3"/>
        </w:numPr>
        <w:spacing w:after="0" w:line="240" w:lineRule="auto"/>
        <w:jc w:val="both"/>
        <w:rPr>
          <w:rFonts w:ascii="Tahoma" w:hAnsi="Tahoma" w:cs="Tahoma"/>
          <w:sz w:val="20"/>
          <w:szCs w:val="20"/>
        </w:rPr>
      </w:pPr>
      <w:r w:rsidRPr="00A32964">
        <w:rPr>
          <w:rFonts w:ascii="Tahoma" w:hAnsi="Tahoma" w:cs="Tahoma"/>
          <w:sz w:val="20"/>
          <w:szCs w:val="20"/>
        </w:rPr>
        <w:t>De gegunde Opdrachtnemer werd formeel in gebreke gesteld conform het bepaalde in artikel 44, §2, KB AUR;</w:t>
      </w:r>
    </w:p>
    <w:p w:rsidR="00A32964" w:rsidRPr="00A32964" w:rsidRDefault="00A32964" w:rsidP="00A32964">
      <w:pPr>
        <w:numPr>
          <w:ilvl w:val="0"/>
          <w:numId w:val="3"/>
        </w:numPr>
        <w:spacing w:after="0" w:line="240" w:lineRule="auto"/>
        <w:jc w:val="both"/>
        <w:rPr>
          <w:rFonts w:ascii="Tahoma" w:hAnsi="Tahoma" w:cs="Tahoma"/>
          <w:sz w:val="20"/>
          <w:szCs w:val="20"/>
        </w:rPr>
      </w:pPr>
      <w:r w:rsidRPr="00A32964">
        <w:rPr>
          <w:rFonts w:ascii="Tahoma" w:hAnsi="Tahoma" w:cs="Tahoma"/>
          <w:sz w:val="20"/>
          <w:szCs w:val="20"/>
        </w:rPr>
        <w:t>De gegunde Opdrachtnemer is, na het verstrijken van de in artikel 44, § 2, KB AUR gestelde termijn om zijn verweermiddelen te doen gelden, inactief gebleven of heeft middelen aangevoerd die door de Opdrachtgever als niet gerechtvaardigd worden beoordeeld;</w:t>
      </w:r>
    </w:p>
    <w:p w:rsidR="00A32964" w:rsidRPr="00A32964" w:rsidRDefault="00A32964" w:rsidP="00A32964">
      <w:pPr>
        <w:numPr>
          <w:ilvl w:val="0"/>
          <w:numId w:val="3"/>
        </w:numPr>
        <w:spacing w:after="0" w:line="240" w:lineRule="auto"/>
        <w:jc w:val="both"/>
        <w:rPr>
          <w:rFonts w:ascii="Tahoma" w:hAnsi="Tahoma" w:cs="Tahoma"/>
          <w:sz w:val="20"/>
          <w:szCs w:val="20"/>
        </w:rPr>
      </w:pPr>
      <w:r w:rsidRPr="00A32964">
        <w:rPr>
          <w:rFonts w:ascii="Tahoma" w:hAnsi="Tahoma" w:cs="Tahoma"/>
          <w:sz w:val="20"/>
          <w:szCs w:val="20"/>
        </w:rPr>
        <w:t>Ingeval de overdracht aan de tweede gerangschikte Inschrijver wordt overwogen: De tweede gerangschikte Inschrijver is bereid de Opdracht verder te zetten / over te nemen tegen de (geïndexeerde) voorwaarden van de door hem ingediende Offerte.</w:t>
      </w:r>
    </w:p>
    <w:bookmarkEnd w:id="3"/>
    <w:p w:rsidR="00A32964" w:rsidRPr="00A32964" w:rsidRDefault="00A32964" w:rsidP="00A32964">
      <w:pPr>
        <w:spacing w:after="0" w:line="240" w:lineRule="auto"/>
        <w:jc w:val="both"/>
        <w:rPr>
          <w:rFonts w:ascii="Tahoma" w:hAnsi="Tahoma" w:cs="Tahoma"/>
          <w:sz w:val="20"/>
          <w:szCs w:val="20"/>
        </w:rPr>
      </w:pPr>
    </w:p>
    <w:p w:rsidR="00A32964" w:rsidRPr="00A32964" w:rsidRDefault="00A32964" w:rsidP="00A32964">
      <w:pPr>
        <w:numPr>
          <w:ilvl w:val="0"/>
          <w:numId w:val="4"/>
        </w:numPr>
        <w:spacing w:after="0" w:line="240" w:lineRule="auto"/>
        <w:jc w:val="both"/>
        <w:rPr>
          <w:rFonts w:ascii="Tahoma" w:hAnsi="Tahoma" w:cs="Tahoma"/>
          <w:sz w:val="20"/>
          <w:szCs w:val="20"/>
        </w:rPr>
      </w:pPr>
      <w:r>
        <w:rPr>
          <w:rFonts w:ascii="Tahoma" w:hAnsi="Tahoma" w:cs="Tahoma"/>
          <w:sz w:val="20"/>
          <w:szCs w:val="20"/>
        </w:rPr>
        <w:t>D</w:t>
      </w:r>
      <w:r w:rsidRPr="00A32964">
        <w:rPr>
          <w:rFonts w:ascii="Tahoma" w:hAnsi="Tahoma" w:cs="Tahoma"/>
          <w:sz w:val="20"/>
          <w:szCs w:val="20"/>
        </w:rPr>
        <w:t xml:space="preserve">e gegunde Opdrachtnemer (of één of meerdere van de leden van die deel uitmaken van deze Opdrachtnemer) zich in een toestand bevindt als bedoeld in artikel 62 KB AUR die aanleiding kan geven tot een verbreking van de opdracht door de bouwheer.  In dit geval kan de opdracht </w:t>
      </w:r>
      <w:r w:rsidRPr="00A32964">
        <w:rPr>
          <w:rFonts w:ascii="Tahoma" w:hAnsi="Tahoma" w:cs="Tahoma"/>
          <w:i/>
          <w:sz w:val="20"/>
          <w:szCs w:val="20"/>
        </w:rPr>
        <w:t>bijvoorbeeld</w:t>
      </w:r>
      <w:r w:rsidRPr="00A32964">
        <w:rPr>
          <w:rFonts w:ascii="Tahoma" w:hAnsi="Tahoma" w:cs="Tahoma"/>
          <w:sz w:val="20"/>
          <w:szCs w:val="20"/>
        </w:rPr>
        <w:t xml:space="preserve"> overgedragen worden aan de inschrijver die als tweede stond gerangschikt in het kader van de georganiseerde plaatsingsprocedure.  Opdat deze vervanging mogelijk zou zijn, dient aan de volgende voorwaarden voldaan te zijn:</w:t>
      </w:r>
    </w:p>
    <w:p w:rsidR="00A32964" w:rsidRPr="00A32964" w:rsidRDefault="00A32964" w:rsidP="00A32964">
      <w:pPr>
        <w:spacing w:after="0" w:line="240" w:lineRule="auto"/>
        <w:ind w:left="720"/>
        <w:jc w:val="both"/>
        <w:rPr>
          <w:rFonts w:ascii="Tahoma" w:hAnsi="Tahoma" w:cs="Tahoma"/>
          <w:sz w:val="20"/>
          <w:szCs w:val="20"/>
        </w:rPr>
      </w:pPr>
    </w:p>
    <w:p w:rsidR="00A32964" w:rsidRPr="00A32964" w:rsidRDefault="00A32964" w:rsidP="00A32964">
      <w:pPr>
        <w:numPr>
          <w:ilvl w:val="1"/>
          <w:numId w:val="4"/>
        </w:numPr>
        <w:spacing w:after="0" w:line="240" w:lineRule="auto"/>
        <w:jc w:val="both"/>
        <w:rPr>
          <w:rFonts w:ascii="Tahoma" w:hAnsi="Tahoma" w:cs="Tahoma"/>
          <w:sz w:val="20"/>
          <w:szCs w:val="20"/>
        </w:rPr>
      </w:pPr>
      <w:r w:rsidRPr="00A32964">
        <w:rPr>
          <w:rFonts w:ascii="Tahoma" w:hAnsi="Tahoma" w:cs="Tahoma"/>
          <w:sz w:val="20"/>
          <w:szCs w:val="20"/>
        </w:rPr>
        <w:t>De gegunde Opdrachtnemer werd formeel in gebreke gesteld conform het bepaalde in artikel 44, §2, KB AUR;</w:t>
      </w:r>
    </w:p>
    <w:p w:rsidR="00A32964" w:rsidRPr="00A32964" w:rsidRDefault="00A32964" w:rsidP="00A32964">
      <w:pPr>
        <w:numPr>
          <w:ilvl w:val="1"/>
          <w:numId w:val="4"/>
        </w:numPr>
        <w:spacing w:after="0" w:line="240" w:lineRule="auto"/>
        <w:jc w:val="both"/>
        <w:rPr>
          <w:rFonts w:ascii="Tahoma" w:hAnsi="Tahoma" w:cs="Tahoma"/>
          <w:sz w:val="20"/>
          <w:szCs w:val="20"/>
        </w:rPr>
      </w:pPr>
      <w:r w:rsidRPr="00A32964">
        <w:rPr>
          <w:rFonts w:ascii="Tahoma" w:hAnsi="Tahoma" w:cs="Tahoma"/>
          <w:sz w:val="20"/>
          <w:szCs w:val="20"/>
        </w:rPr>
        <w:t>De gegunde Opdrachtnemer is, na het verstrijken van de in artikel 44, § 2, KB AUR, gestelde termijn om zijn verweermiddelen te doen gelden, inactief gebleven of heeft middelen aangevoerd die door de bouwheer als niet gerechtvaardigd worden beoordeeld;</w:t>
      </w:r>
    </w:p>
    <w:p w:rsidR="00A32964" w:rsidRPr="00A32964" w:rsidRDefault="00A32964" w:rsidP="00A32964">
      <w:pPr>
        <w:numPr>
          <w:ilvl w:val="1"/>
          <w:numId w:val="4"/>
        </w:numPr>
        <w:spacing w:after="0" w:line="240" w:lineRule="auto"/>
        <w:jc w:val="both"/>
        <w:rPr>
          <w:rFonts w:ascii="Tahoma" w:hAnsi="Tahoma" w:cs="Tahoma"/>
          <w:sz w:val="20"/>
          <w:szCs w:val="20"/>
        </w:rPr>
      </w:pPr>
      <w:r w:rsidRPr="00A32964">
        <w:rPr>
          <w:rFonts w:ascii="Tahoma" w:hAnsi="Tahoma" w:cs="Tahoma"/>
          <w:sz w:val="20"/>
          <w:szCs w:val="20"/>
        </w:rPr>
        <w:t>Ingeval de overdracht aan de tweede gerangschikte inschrijver wordt overwogen: de tweede gerangschikte inschrijver is bereid de opdracht verder te zetten / over te nemen tegen de (geïndexeerde) voorwaarden van de door hem ingediende offerte.</w:t>
      </w:r>
    </w:p>
    <w:p w:rsidR="00A32964" w:rsidRPr="00A32964" w:rsidRDefault="00A32964" w:rsidP="00A32964">
      <w:pPr>
        <w:spacing w:after="0" w:line="240" w:lineRule="auto"/>
        <w:ind w:left="720"/>
        <w:jc w:val="both"/>
        <w:rPr>
          <w:rFonts w:ascii="Tahoma" w:hAnsi="Tahoma" w:cs="Tahoma"/>
          <w:sz w:val="20"/>
          <w:szCs w:val="20"/>
        </w:rPr>
      </w:pPr>
    </w:p>
    <w:p w:rsidR="00A32964" w:rsidRPr="00A32964" w:rsidRDefault="00A32964" w:rsidP="00A32964">
      <w:pPr>
        <w:spacing w:after="0" w:line="240" w:lineRule="auto"/>
        <w:ind w:left="720"/>
        <w:jc w:val="both"/>
        <w:rPr>
          <w:rFonts w:ascii="Tahoma" w:hAnsi="Tahoma" w:cs="Tahoma"/>
          <w:sz w:val="20"/>
          <w:szCs w:val="20"/>
        </w:rPr>
      </w:pPr>
      <w:r w:rsidRPr="00A32964">
        <w:rPr>
          <w:rFonts w:ascii="Tahoma" w:hAnsi="Tahoma" w:cs="Tahoma"/>
          <w:sz w:val="20"/>
          <w:szCs w:val="20"/>
        </w:rPr>
        <w:t>In laatstgenoemd geval kan de Opdracht bijvoorbeeld ook worden overgedragen aan een “opvolger” van de Opdrachtnemer (een anders samengestelde Opdrachtnemer, bijvoorbeeld door vervanging van de onderneming die zich in de bedoelde toestand bevindt) voor zover aan de volgende voorwaarden is voldaan:</w:t>
      </w:r>
    </w:p>
    <w:p w:rsidR="00A32964" w:rsidRPr="00A32964" w:rsidRDefault="00A32964" w:rsidP="00A32964">
      <w:pPr>
        <w:spacing w:after="0" w:line="240" w:lineRule="auto"/>
        <w:jc w:val="both"/>
        <w:rPr>
          <w:rFonts w:ascii="Tahoma" w:hAnsi="Tahoma" w:cs="Tahoma"/>
          <w:sz w:val="20"/>
          <w:szCs w:val="20"/>
        </w:rPr>
      </w:pPr>
    </w:p>
    <w:p w:rsidR="00A32964" w:rsidRPr="00A32964" w:rsidRDefault="00A32964" w:rsidP="00A32964">
      <w:pPr>
        <w:numPr>
          <w:ilvl w:val="1"/>
          <w:numId w:val="4"/>
        </w:numPr>
        <w:spacing w:after="0" w:line="240" w:lineRule="auto"/>
        <w:jc w:val="both"/>
        <w:rPr>
          <w:rFonts w:ascii="Tahoma" w:hAnsi="Tahoma" w:cs="Tahoma"/>
          <w:sz w:val="20"/>
          <w:szCs w:val="20"/>
        </w:rPr>
      </w:pPr>
      <w:r w:rsidRPr="00A32964">
        <w:rPr>
          <w:rFonts w:ascii="Tahoma" w:hAnsi="Tahoma" w:cs="Tahoma"/>
          <w:sz w:val="20"/>
          <w:szCs w:val="20"/>
        </w:rPr>
        <w:t>De opvolger voldoet aan de oorspronkelijk vastgestelde voorwaarden inzake kwalitatieve selectie;</w:t>
      </w:r>
    </w:p>
    <w:p w:rsidR="00A32964" w:rsidRPr="00A32964" w:rsidRDefault="00A32964" w:rsidP="00A32964">
      <w:pPr>
        <w:numPr>
          <w:ilvl w:val="1"/>
          <w:numId w:val="4"/>
        </w:numPr>
        <w:spacing w:after="0" w:line="240" w:lineRule="auto"/>
        <w:jc w:val="both"/>
        <w:rPr>
          <w:rFonts w:ascii="Tahoma" w:hAnsi="Tahoma" w:cs="Tahoma"/>
          <w:sz w:val="20"/>
          <w:szCs w:val="20"/>
        </w:rPr>
      </w:pPr>
      <w:r w:rsidRPr="00A32964">
        <w:rPr>
          <w:rFonts w:ascii="Tahoma" w:hAnsi="Tahoma" w:cs="Tahoma"/>
          <w:sz w:val="20"/>
          <w:szCs w:val="20"/>
        </w:rPr>
        <w:t>Deze vervanging brengt geen andere wezenlijke wijzigingen in de opdracht met zich mee;</w:t>
      </w:r>
    </w:p>
    <w:p w:rsidR="00A32964" w:rsidRPr="00A32964" w:rsidRDefault="00A32964" w:rsidP="00A32964">
      <w:pPr>
        <w:numPr>
          <w:ilvl w:val="1"/>
          <w:numId w:val="4"/>
        </w:numPr>
        <w:spacing w:after="0" w:line="240" w:lineRule="auto"/>
        <w:jc w:val="both"/>
        <w:rPr>
          <w:rFonts w:ascii="Tahoma" w:hAnsi="Tahoma" w:cs="Tahoma"/>
          <w:sz w:val="20"/>
          <w:szCs w:val="20"/>
        </w:rPr>
      </w:pPr>
      <w:r w:rsidRPr="00A32964">
        <w:rPr>
          <w:rFonts w:ascii="Tahoma" w:hAnsi="Tahoma" w:cs="Tahoma"/>
          <w:sz w:val="20"/>
          <w:szCs w:val="20"/>
        </w:rPr>
        <w:t>De bouwheer stemt uitdrukkelijk en voorafgaandelijk in met de vervanging.</w:t>
      </w:r>
    </w:p>
    <w:p w:rsidR="00A32964" w:rsidRPr="00A32964" w:rsidRDefault="00A32964" w:rsidP="00A32964">
      <w:pPr>
        <w:numPr>
          <w:ilvl w:val="0"/>
          <w:numId w:val="4"/>
        </w:numPr>
        <w:spacing w:after="0" w:line="240" w:lineRule="auto"/>
        <w:jc w:val="both"/>
        <w:rPr>
          <w:rFonts w:ascii="Tahoma" w:hAnsi="Tahoma" w:cs="Tahoma"/>
          <w:sz w:val="20"/>
          <w:szCs w:val="20"/>
        </w:rPr>
      </w:pPr>
      <w:r w:rsidRPr="00A32964">
        <w:rPr>
          <w:rFonts w:ascii="Tahoma" w:hAnsi="Tahoma" w:cs="Tahoma"/>
          <w:sz w:val="20"/>
          <w:szCs w:val="20"/>
        </w:rPr>
        <w:lastRenderedPageBreak/>
        <w:t xml:space="preserve">De Basisvergunning niet (tijdig) kan worden bekomen door de gegunde Opdrachtnemer. In dit geval kan de Opdracht </w:t>
      </w:r>
      <w:r w:rsidRPr="00A32964">
        <w:rPr>
          <w:rFonts w:ascii="Tahoma" w:hAnsi="Tahoma" w:cs="Tahoma"/>
          <w:i/>
          <w:sz w:val="20"/>
          <w:szCs w:val="20"/>
        </w:rPr>
        <w:t>bijvoorbeeld</w:t>
      </w:r>
      <w:r w:rsidRPr="00A32964">
        <w:rPr>
          <w:rFonts w:ascii="Tahoma" w:hAnsi="Tahoma" w:cs="Tahoma"/>
          <w:sz w:val="20"/>
          <w:szCs w:val="20"/>
        </w:rPr>
        <w:t xml:space="preserve"> overgedragen worden aan de Inschrijver die als tweede stond gerangschikt in het kader van de georganiseerde plaatsingsprocedure.  Opdat deze vervanging mogelijk zou zijn, dient aan de volgende voorwaarden voldaan te zijn:</w:t>
      </w:r>
    </w:p>
    <w:p w:rsidR="00A32964" w:rsidRPr="00A32964" w:rsidRDefault="00A32964" w:rsidP="00A32964">
      <w:pPr>
        <w:spacing w:line="240" w:lineRule="auto"/>
        <w:ind w:left="720"/>
        <w:rPr>
          <w:rFonts w:ascii="Tahoma" w:hAnsi="Tahoma" w:cs="Tahoma"/>
          <w:sz w:val="20"/>
          <w:szCs w:val="20"/>
        </w:rPr>
      </w:pPr>
    </w:p>
    <w:p w:rsidR="00A32964" w:rsidRPr="00A32964" w:rsidRDefault="00A32964" w:rsidP="00A32964">
      <w:pPr>
        <w:numPr>
          <w:ilvl w:val="0"/>
          <w:numId w:val="3"/>
        </w:numPr>
        <w:spacing w:after="0" w:line="240" w:lineRule="auto"/>
        <w:jc w:val="both"/>
        <w:rPr>
          <w:rFonts w:ascii="Tahoma" w:hAnsi="Tahoma" w:cs="Tahoma"/>
          <w:sz w:val="20"/>
          <w:szCs w:val="20"/>
        </w:rPr>
      </w:pPr>
      <w:r w:rsidRPr="00A32964">
        <w:rPr>
          <w:rFonts w:ascii="Tahoma" w:hAnsi="Tahoma" w:cs="Tahoma"/>
          <w:sz w:val="20"/>
          <w:szCs w:val="20"/>
        </w:rPr>
        <w:t>Ingeval de overdracht aan de tweede gerangschikte Inschrijver wordt overwogen: De tweede gerangschikte Inschrijver is bereid de Opdracht verder te zetten / over te nemen tegen de (geïndexeerde) voorwaarden van de door hem ingediende Offerte.</w:t>
      </w:r>
    </w:p>
    <w:p w:rsidR="00FE03B3" w:rsidRPr="00A32964" w:rsidRDefault="00FE03B3">
      <w:pPr>
        <w:rPr>
          <w:sz w:val="20"/>
          <w:szCs w:val="20"/>
        </w:rPr>
      </w:pPr>
    </w:p>
    <w:sectPr w:rsidR="00FE03B3" w:rsidRPr="00A3296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C1A8A"/>
    <w:multiLevelType w:val="hybridMultilevel"/>
    <w:tmpl w:val="A92C7A7C"/>
    <w:lvl w:ilvl="0" w:tplc="08130003">
      <w:start w:val="1"/>
      <w:numFmt w:val="bullet"/>
      <w:lvlText w:val="o"/>
      <w:lvlJc w:val="left"/>
      <w:pPr>
        <w:ind w:left="1069" w:hanging="360"/>
      </w:pPr>
      <w:rPr>
        <w:rFonts w:ascii="Courier New" w:hAnsi="Courier New" w:cs="Courier New" w:hint="default"/>
      </w:rPr>
    </w:lvl>
    <w:lvl w:ilvl="1" w:tplc="08130003">
      <w:start w:val="1"/>
      <w:numFmt w:val="bullet"/>
      <w:lvlText w:val="o"/>
      <w:lvlJc w:val="left"/>
      <w:pPr>
        <w:ind w:left="1789" w:hanging="360"/>
      </w:pPr>
      <w:rPr>
        <w:rFonts w:ascii="Courier New" w:hAnsi="Courier New" w:cs="Courier New" w:hint="default"/>
      </w:rPr>
    </w:lvl>
    <w:lvl w:ilvl="2" w:tplc="08130005">
      <w:start w:val="1"/>
      <w:numFmt w:val="bullet"/>
      <w:lvlText w:val=""/>
      <w:lvlJc w:val="left"/>
      <w:pPr>
        <w:ind w:left="2509" w:hanging="360"/>
      </w:pPr>
      <w:rPr>
        <w:rFonts w:ascii="Wingdings" w:hAnsi="Wingdings" w:hint="default"/>
      </w:rPr>
    </w:lvl>
    <w:lvl w:ilvl="3" w:tplc="08130001">
      <w:start w:val="1"/>
      <w:numFmt w:val="bullet"/>
      <w:lvlText w:val=""/>
      <w:lvlJc w:val="left"/>
      <w:pPr>
        <w:ind w:left="3229" w:hanging="360"/>
      </w:pPr>
      <w:rPr>
        <w:rFonts w:ascii="Symbol" w:hAnsi="Symbol" w:hint="default"/>
      </w:rPr>
    </w:lvl>
    <w:lvl w:ilvl="4" w:tplc="08130003">
      <w:start w:val="1"/>
      <w:numFmt w:val="bullet"/>
      <w:lvlText w:val="o"/>
      <w:lvlJc w:val="left"/>
      <w:pPr>
        <w:ind w:left="3949" w:hanging="360"/>
      </w:pPr>
      <w:rPr>
        <w:rFonts w:ascii="Courier New" w:hAnsi="Courier New" w:cs="Courier New" w:hint="default"/>
      </w:rPr>
    </w:lvl>
    <w:lvl w:ilvl="5" w:tplc="08130005">
      <w:start w:val="1"/>
      <w:numFmt w:val="bullet"/>
      <w:lvlText w:val=""/>
      <w:lvlJc w:val="left"/>
      <w:pPr>
        <w:ind w:left="4669" w:hanging="360"/>
      </w:pPr>
      <w:rPr>
        <w:rFonts w:ascii="Wingdings" w:hAnsi="Wingdings" w:hint="default"/>
      </w:rPr>
    </w:lvl>
    <w:lvl w:ilvl="6" w:tplc="08130001">
      <w:start w:val="1"/>
      <w:numFmt w:val="bullet"/>
      <w:lvlText w:val=""/>
      <w:lvlJc w:val="left"/>
      <w:pPr>
        <w:ind w:left="5389" w:hanging="360"/>
      </w:pPr>
      <w:rPr>
        <w:rFonts w:ascii="Symbol" w:hAnsi="Symbol" w:hint="default"/>
      </w:rPr>
    </w:lvl>
    <w:lvl w:ilvl="7" w:tplc="08130003">
      <w:start w:val="1"/>
      <w:numFmt w:val="bullet"/>
      <w:lvlText w:val="o"/>
      <w:lvlJc w:val="left"/>
      <w:pPr>
        <w:ind w:left="6109" w:hanging="360"/>
      </w:pPr>
      <w:rPr>
        <w:rFonts w:ascii="Courier New" w:hAnsi="Courier New" w:cs="Courier New" w:hint="default"/>
      </w:rPr>
    </w:lvl>
    <w:lvl w:ilvl="8" w:tplc="08130005">
      <w:start w:val="1"/>
      <w:numFmt w:val="bullet"/>
      <w:lvlText w:val=""/>
      <w:lvlJc w:val="left"/>
      <w:pPr>
        <w:ind w:left="6829" w:hanging="360"/>
      </w:pPr>
      <w:rPr>
        <w:rFonts w:ascii="Wingdings" w:hAnsi="Wingdings" w:hint="default"/>
      </w:rPr>
    </w:lvl>
  </w:abstractNum>
  <w:abstractNum w:abstractNumId="1" w15:restartNumberingAfterBreak="0">
    <w:nsid w:val="39B52485"/>
    <w:multiLevelType w:val="hybridMultilevel"/>
    <w:tmpl w:val="69A42848"/>
    <w:lvl w:ilvl="0" w:tplc="08130003">
      <w:start w:val="1"/>
      <w:numFmt w:val="bullet"/>
      <w:lvlText w:val="o"/>
      <w:lvlJc w:val="left"/>
      <w:pPr>
        <w:ind w:left="1069" w:hanging="360"/>
      </w:pPr>
      <w:rPr>
        <w:rFonts w:ascii="Courier New" w:hAnsi="Courier New" w:cs="Courier New" w:hint="default"/>
      </w:rPr>
    </w:lvl>
    <w:lvl w:ilvl="1" w:tplc="08130003">
      <w:start w:val="1"/>
      <w:numFmt w:val="bullet"/>
      <w:lvlText w:val="o"/>
      <w:lvlJc w:val="left"/>
      <w:pPr>
        <w:ind w:left="1789" w:hanging="360"/>
      </w:pPr>
      <w:rPr>
        <w:rFonts w:ascii="Courier New" w:hAnsi="Courier New" w:cs="Courier New" w:hint="default"/>
      </w:rPr>
    </w:lvl>
    <w:lvl w:ilvl="2" w:tplc="08130005">
      <w:start w:val="1"/>
      <w:numFmt w:val="bullet"/>
      <w:lvlText w:val=""/>
      <w:lvlJc w:val="left"/>
      <w:pPr>
        <w:ind w:left="2509" w:hanging="360"/>
      </w:pPr>
      <w:rPr>
        <w:rFonts w:ascii="Wingdings" w:hAnsi="Wingdings" w:hint="default"/>
      </w:rPr>
    </w:lvl>
    <w:lvl w:ilvl="3" w:tplc="08130001">
      <w:start w:val="1"/>
      <w:numFmt w:val="bullet"/>
      <w:lvlText w:val=""/>
      <w:lvlJc w:val="left"/>
      <w:pPr>
        <w:ind w:left="3229" w:hanging="360"/>
      </w:pPr>
      <w:rPr>
        <w:rFonts w:ascii="Symbol" w:hAnsi="Symbol" w:hint="default"/>
      </w:rPr>
    </w:lvl>
    <w:lvl w:ilvl="4" w:tplc="08130003">
      <w:start w:val="1"/>
      <w:numFmt w:val="bullet"/>
      <w:lvlText w:val="o"/>
      <w:lvlJc w:val="left"/>
      <w:pPr>
        <w:ind w:left="3949" w:hanging="360"/>
      </w:pPr>
      <w:rPr>
        <w:rFonts w:ascii="Courier New" w:hAnsi="Courier New" w:cs="Courier New" w:hint="default"/>
      </w:rPr>
    </w:lvl>
    <w:lvl w:ilvl="5" w:tplc="08130005">
      <w:start w:val="1"/>
      <w:numFmt w:val="bullet"/>
      <w:lvlText w:val=""/>
      <w:lvlJc w:val="left"/>
      <w:pPr>
        <w:ind w:left="4669" w:hanging="360"/>
      </w:pPr>
      <w:rPr>
        <w:rFonts w:ascii="Wingdings" w:hAnsi="Wingdings" w:hint="default"/>
      </w:rPr>
    </w:lvl>
    <w:lvl w:ilvl="6" w:tplc="08130001">
      <w:start w:val="1"/>
      <w:numFmt w:val="bullet"/>
      <w:lvlText w:val=""/>
      <w:lvlJc w:val="left"/>
      <w:pPr>
        <w:ind w:left="5389" w:hanging="360"/>
      </w:pPr>
      <w:rPr>
        <w:rFonts w:ascii="Symbol" w:hAnsi="Symbol" w:hint="default"/>
      </w:rPr>
    </w:lvl>
    <w:lvl w:ilvl="7" w:tplc="08130003">
      <w:start w:val="1"/>
      <w:numFmt w:val="bullet"/>
      <w:lvlText w:val="o"/>
      <w:lvlJc w:val="left"/>
      <w:pPr>
        <w:ind w:left="6109" w:hanging="360"/>
      </w:pPr>
      <w:rPr>
        <w:rFonts w:ascii="Courier New" w:hAnsi="Courier New" w:cs="Courier New" w:hint="default"/>
      </w:rPr>
    </w:lvl>
    <w:lvl w:ilvl="8" w:tplc="08130005">
      <w:start w:val="1"/>
      <w:numFmt w:val="bullet"/>
      <w:lvlText w:val=""/>
      <w:lvlJc w:val="left"/>
      <w:pPr>
        <w:ind w:left="6829" w:hanging="360"/>
      </w:pPr>
      <w:rPr>
        <w:rFonts w:ascii="Wingdings" w:hAnsi="Wingdings" w:hint="default"/>
      </w:rPr>
    </w:lvl>
  </w:abstractNum>
  <w:abstractNum w:abstractNumId="2" w15:restartNumberingAfterBreak="0">
    <w:nsid w:val="4781573D"/>
    <w:multiLevelType w:val="multilevel"/>
    <w:tmpl w:val="C27236C4"/>
    <w:lvl w:ilvl="0">
      <w:start w:val="1"/>
      <w:numFmt w:val="decimal"/>
      <w:pStyle w:val="Kop1"/>
      <w:lvlText w:val="%1"/>
      <w:lvlJc w:val="left"/>
      <w:pPr>
        <w:ind w:left="2128" w:hanging="1276"/>
      </w:pPr>
      <w:rPr>
        <w:rFonts w:hint="default"/>
      </w:rPr>
    </w:lvl>
    <w:lvl w:ilvl="1">
      <w:start w:val="1"/>
      <w:numFmt w:val="decimal"/>
      <w:pStyle w:val="Kop2"/>
      <w:lvlText w:val="%1.%2"/>
      <w:lvlJc w:val="left"/>
      <w:pPr>
        <w:ind w:left="1986" w:hanging="1276"/>
      </w:pPr>
      <w:rPr>
        <w:rFonts w:hint="default"/>
      </w:rPr>
    </w:lvl>
    <w:lvl w:ilvl="2">
      <w:start w:val="1"/>
      <w:numFmt w:val="decimal"/>
      <w:pStyle w:val="Kop3"/>
      <w:lvlText w:val="%1.%2.%3"/>
      <w:lvlJc w:val="left"/>
      <w:pPr>
        <w:ind w:left="1276" w:hanging="1276"/>
      </w:pPr>
      <w:rPr>
        <w:rFonts w:hint="default"/>
      </w:rPr>
    </w:lvl>
    <w:lvl w:ilvl="3">
      <w:start w:val="1"/>
      <w:numFmt w:val="decimal"/>
      <w:pStyle w:val="Kop4"/>
      <w:lvlText w:val="%1.%2.%3.%4"/>
      <w:lvlJc w:val="left"/>
      <w:pPr>
        <w:ind w:left="1276" w:hanging="1276"/>
      </w:pPr>
      <w:rPr>
        <w:rFonts w:hint="default"/>
      </w:rPr>
    </w:lvl>
    <w:lvl w:ilvl="4">
      <w:start w:val="1"/>
      <w:numFmt w:val="decimal"/>
      <w:pStyle w:val="Kop5"/>
      <w:suff w:val="space"/>
      <w:lvlText w:val="%1.%2.%3.%4.%5"/>
      <w:lvlJc w:val="left"/>
      <w:pPr>
        <w:ind w:left="1276" w:hanging="1276"/>
      </w:pPr>
      <w:rPr>
        <w:rFonts w:hint="default"/>
      </w:rPr>
    </w:lvl>
    <w:lvl w:ilvl="5">
      <w:start w:val="1"/>
      <w:numFmt w:val="decimal"/>
      <w:pStyle w:val="Kop6"/>
      <w:suff w:val="space"/>
      <w:lvlText w:val="%1.%2.%3.%4.%5.%6"/>
      <w:lvlJc w:val="left"/>
      <w:pPr>
        <w:ind w:left="1276" w:hanging="1276"/>
      </w:pPr>
      <w:rPr>
        <w:rFonts w:hint="default"/>
      </w:rPr>
    </w:lvl>
    <w:lvl w:ilvl="6">
      <w:start w:val="1"/>
      <w:numFmt w:val="decimal"/>
      <w:pStyle w:val="Kop7"/>
      <w:suff w:val="space"/>
      <w:lvlText w:val="%1.%2.%3.%4.%5.%6.%7"/>
      <w:lvlJc w:val="left"/>
      <w:pPr>
        <w:ind w:left="1276" w:hanging="1276"/>
      </w:pPr>
      <w:rPr>
        <w:rFonts w:hint="default"/>
      </w:rPr>
    </w:lvl>
    <w:lvl w:ilvl="7">
      <w:start w:val="1"/>
      <w:numFmt w:val="upperLetter"/>
      <w:pStyle w:val="Kop8"/>
      <w:suff w:val="space"/>
      <w:lvlText w:val="Appendix %8"/>
      <w:lvlJc w:val="left"/>
      <w:pPr>
        <w:ind w:left="1440" w:hanging="1440"/>
      </w:pPr>
      <w:rPr>
        <w:rFonts w:hint="default"/>
      </w:rPr>
    </w:lvl>
    <w:lvl w:ilvl="8">
      <w:start w:val="1"/>
      <w:numFmt w:val="none"/>
      <w:pStyle w:val="Kop9"/>
      <w:suff w:val="nothing"/>
      <w:lvlText w:val=""/>
      <w:lvlJc w:val="left"/>
      <w:pPr>
        <w:ind w:left="1584" w:hanging="1584"/>
      </w:pPr>
      <w:rPr>
        <w:rFonts w:hint="default"/>
      </w:rPr>
    </w:lvl>
  </w:abstractNum>
  <w:abstractNum w:abstractNumId="3" w15:restartNumberingAfterBreak="0">
    <w:nsid w:val="65041293"/>
    <w:multiLevelType w:val="hybridMultilevel"/>
    <w:tmpl w:val="CC1289B8"/>
    <w:lvl w:ilvl="0" w:tplc="70D28B0E">
      <w:start w:val="1"/>
      <w:numFmt w:val="bullet"/>
      <w:lvlText w:val="-"/>
      <w:lvlJc w:val="left"/>
      <w:pPr>
        <w:tabs>
          <w:tab w:val="num" w:pos="720"/>
        </w:tabs>
        <w:ind w:left="720" w:hanging="360"/>
      </w:pPr>
      <w:rPr>
        <w:rFonts w:ascii="Arial" w:eastAsia="Times New Roman" w:hAnsi="Arial" w:cs="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964"/>
    <w:rsid w:val="00A32964"/>
    <w:rsid w:val="00FE03B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6D159"/>
  <w15:chartTrackingRefBased/>
  <w15:docId w15:val="{CC3FC29E-5AF6-4CB2-AAC6-E8B7F7069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paragraph" w:styleId="Kop1">
    <w:name w:val="heading 1"/>
    <w:basedOn w:val="Standaard"/>
    <w:next w:val="Standaard"/>
    <w:link w:val="Kop1Char"/>
    <w:qFormat/>
    <w:rsid w:val="00A32964"/>
    <w:pPr>
      <w:keepNext/>
      <w:keepLines/>
      <w:pageBreakBefore/>
      <w:numPr>
        <w:numId w:val="1"/>
      </w:numPr>
      <w:spacing w:after="120" w:line="240" w:lineRule="atLeast"/>
      <w:ind w:left="1276"/>
      <w:outlineLvl w:val="0"/>
    </w:pPr>
    <w:rPr>
      <w:rFonts w:asciiTheme="majorHAnsi" w:eastAsiaTheme="majorEastAsia" w:hAnsiTheme="majorHAnsi" w:cstheme="majorBidi"/>
      <w:b/>
      <w:bCs/>
      <w:caps/>
      <w:color w:val="E7E6E6" w:themeColor="background2"/>
      <w:sz w:val="32"/>
      <w:szCs w:val="28"/>
      <w:lang w:val="en-US"/>
    </w:rPr>
  </w:style>
  <w:style w:type="paragraph" w:styleId="Kop2">
    <w:name w:val="heading 2"/>
    <w:aliases w:val="h2,L2"/>
    <w:basedOn w:val="Standaard"/>
    <w:next w:val="Standaard"/>
    <w:link w:val="Kop2Char"/>
    <w:unhideWhenUsed/>
    <w:qFormat/>
    <w:rsid w:val="00A32964"/>
    <w:pPr>
      <w:keepNext/>
      <w:keepLines/>
      <w:numPr>
        <w:ilvl w:val="1"/>
        <w:numId w:val="1"/>
      </w:numPr>
      <w:spacing w:after="120" w:line="240" w:lineRule="atLeast"/>
      <w:outlineLvl w:val="1"/>
    </w:pPr>
    <w:rPr>
      <w:rFonts w:asciiTheme="majorHAnsi" w:eastAsiaTheme="majorEastAsia" w:hAnsiTheme="majorHAnsi" w:cstheme="majorBidi"/>
      <w:b/>
      <w:bCs/>
      <w:color w:val="E7E6E6" w:themeColor="background2"/>
      <w:sz w:val="28"/>
      <w:szCs w:val="26"/>
      <w:lang w:val="en-US"/>
    </w:rPr>
  </w:style>
  <w:style w:type="paragraph" w:styleId="Kop3">
    <w:name w:val="heading 3"/>
    <w:basedOn w:val="Standaard"/>
    <w:next w:val="Standaard"/>
    <w:link w:val="Kop3Char"/>
    <w:unhideWhenUsed/>
    <w:qFormat/>
    <w:rsid w:val="00A32964"/>
    <w:pPr>
      <w:keepNext/>
      <w:keepLines/>
      <w:numPr>
        <w:ilvl w:val="2"/>
        <w:numId w:val="1"/>
      </w:numPr>
      <w:spacing w:after="120" w:line="240" w:lineRule="atLeast"/>
      <w:outlineLvl w:val="2"/>
    </w:pPr>
    <w:rPr>
      <w:rFonts w:asciiTheme="majorHAnsi" w:eastAsiaTheme="majorEastAsia" w:hAnsiTheme="majorHAnsi" w:cstheme="majorBidi"/>
      <w:b/>
      <w:bCs/>
      <w:color w:val="000000" w:themeColor="text1"/>
      <w:sz w:val="28"/>
      <w:szCs w:val="20"/>
      <w:lang w:val="en-US"/>
    </w:rPr>
  </w:style>
  <w:style w:type="paragraph" w:styleId="Kop4">
    <w:name w:val="heading 4"/>
    <w:basedOn w:val="Standaard"/>
    <w:next w:val="Standaard"/>
    <w:link w:val="Kop4Char"/>
    <w:unhideWhenUsed/>
    <w:qFormat/>
    <w:rsid w:val="00A32964"/>
    <w:pPr>
      <w:keepNext/>
      <w:keepLines/>
      <w:numPr>
        <w:ilvl w:val="3"/>
        <w:numId w:val="1"/>
      </w:numPr>
      <w:spacing w:after="120" w:line="240" w:lineRule="atLeast"/>
      <w:outlineLvl w:val="3"/>
    </w:pPr>
    <w:rPr>
      <w:rFonts w:asciiTheme="majorHAnsi" w:eastAsiaTheme="majorEastAsia" w:hAnsiTheme="majorHAnsi" w:cstheme="majorBidi"/>
      <w:bCs/>
      <w:iCs/>
      <w:sz w:val="24"/>
      <w:szCs w:val="20"/>
      <w:lang w:val="en-US"/>
    </w:rPr>
  </w:style>
  <w:style w:type="paragraph" w:styleId="Kop5">
    <w:name w:val="heading 5"/>
    <w:basedOn w:val="Standaard"/>
    <w:next w:val="Standaard"/>
    <w:link w:val="Kop5Char"/>
    <w:unhideWhenUsed/>
    <w:qFormat/>
    <w:rsid w:val="00A32964"/>
    <w:pPr>
      <w:keepNext/>
      <w:keepLines/>
      <w:numPr>
        <w:ilvl w:val="4"/>
        <w:numId w:val="1"/>
      </w:numPr>
      <w:spacing w:after="120" w:line="240" w:lineRule="atLeast"/>
      <w:outlineLvl w:val="4"/>
    </w:pPr>
    <w:rPr>
      <w:rFonts w:asciiTheme="majorHAnsi" w:eastAsiaTheme="majorEastAsia" w:hAnsiTheme="majorHAnsi" w:cstheme="majorBidi"/>
      <w:color w:val="000000" w:themeColor="text1"/>
      <w:sz w:val="24"/>
      <w:szCs w:val="20"/>
      <w:lang w:val="en-US"/>
    </w:rPr>
  </w:style>
  <w:style w:type="paragraph" w:styleId="Kop6">
    <w:name w:val="heading 6"/>
    <w:basedOn w:val="Standaard"/>
    <w:next w:val="Standaard"/>
    <w:link w:val="Kop6Char"/>
    <w:unhideWhenUsed/>
    <w:qFormat/>
    <w:rsid w:val="00A32964"/>
    <w:pPr>
      <w:keepNext/>
      <w:keepLines/>
      <w:numPr>
        <w:ilvl w:val="5"/>
        <w:numId w:val="1"/>
      </w:numPr>
      <w:spacing w:after="120" w:line="240" w:lineRule="atLeast"/>
      <w:outlineLvl w:val="5"/>
    </w:pPr>
    <w:rPr>
      <w:rFonts w:asciiTheme="majorHAnsi" w:eastAsiaTheme="majorEastAsia" w:hAnsiTheme="majorHAnsi" w:cstheme="majorBidi"/>
      <w:iCs/>
      <w:color w:val="000000" w:themeColor="text1"/>
      <w:sz w:val="24"/>
      <w:szCs w:val="20"/>
      <w:lang w:val="en-US"/>
    </w:rPr>
  </w:style>
  <w:style w:type="paragraph" w:styleId="Kop7">
    <w:name w:val="heading 7"/>
    <w:basedOn w:val="Standaard"/>
    <w:next w:val="Standaard"/>
    <w:link w:val="Kop7Char"/>
    <w:unhideWhenUsed/>
    <w:qFormat/>
    <w:rsid w:val="00A32964"/>
    <w:pPr>
      <w:keepNext/>
      <w:keepLines/>
      <w:numPr>
        <w:ilvl w:val="6"/>
        <w:numId w:val="1"/>
      </w:numPr>
      <w:spacing w:after="120" w:line="240" w:lineRule="atLeast"/>
      <w:outlineLvl w:val="6"/>
    </w:pPr>
    <w:rPr>
      <w:rFonts w:asciiTheme="majorHAnsi" w:eastAsiaTheme="majorEastAsia" w:hAnsiTheme="majorHAnsi" w:cstheme="majorBidi"/>
      <w:iCs/>
      <w:color w:val="000000" w:themeColor="text1"/>
      <w:sz w:val="24"/>
      <w:szCs w:val="20"/>
      <w:lang w:val="en-US"/>
    </w:rPr>
  </w:style>
  <w:style w:type="paragraph" w:styleId="Kop8">
    <w:name w:val="heading 8"/>
    <w:basedOn w:val="Standaard"/>
    <w:next w:val="Standaard"/>
    <w:link w:val="Kop8Char"/>
    <w:unhideWhenUsed/>
    <w:qFormat/>
    <w:rsid w:val="00A32964"/>
    <w:pPr>
      <w:keepNext/>
      <w:keepLines/>
      <w:pageBreakBefore/>
      <w:numPr>
        <w:ilvl w:val="7"/>
        <w:numId w:val="1"/>
      </w:numPr>
      <w:spacing w:after="120" w:line="240" w:lineRule="atLeast"/>
      <w:outlineLvl w:val="7"/>
    </w:pPr>
    <w:rPr>
      <w:rFonts w:asciiTheme="majorHAnsi" w:eastAsiaTheme="majorEastAsia" w:hAnsiTheme="majorHAnsi" w:cstheme="majorBidi"/>
      <w:caps/>
      <w:color w:val="000000" w:themeColor="text1"/>
      <w:sz w:val="32"/>
      <w:szCs w:val="20"/>
      <w:lang w:val="en-US"/>
    </w:rPr>
  </w:style>
  <w:style w:type="paragraph" w:styleId="Kop9">
    <w:name w:val="heading 9"/>
    <w:basedOn w:val="Standaard"/>
    <w:next w:val="Standaard"/>
    <w:link w:val="Kop9Char"/>
    <w:unhideWhenUsed/>
    <w:qFormat/>
    <w:rsid w:val="00A32964"/>
    <w:pPr>
      <w:keepNext/>
      <w:keepLines/>
      <w:numPr>
        <w:ilvl w:val="8"/>
        <w:numId w:val="1"/>
      </w:numPr>
      <w:spacing w:after="120" w:line="240" w:lineRule="atLeast"/>
      <w:outlineLvl w:val="8"/>
    </w:pPr>
    <w:rPr>
      <w:rFonts w:asciiTheme="majorHAnsi" w:eastAsiaTheme="majorEastAsia" w:hAnsiTheme="majorHAnsi" w:cstheme="majorBidi"/>
      <w:b/>
      <w:iCs/>
      <w:color w:val="E7E6E6" w:themeColor="background2"/>
      <w:sz w:val="28"/>
      <w:szCs w:val="20"/>
      <w:lang w:val="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32964"/>
    <w:rPr>
      <w:rFonts w:asciiTheme="majorHAnsi" w:eastAsiaTheme="majorEastAsia" w:hAnsiTheme="majorHAnsi" w:cstheme="majorBidi"/>
      <w:b/>
      <w:bCs/>
      <w:caps/>
      <w:color w:val="E7E6E6" w:themeColor="background2"/>
      <w:sz w:val="32"/>
      <w:szCs w:val="28"/>
      <w:lang w:val="en-US"/>
    </w:rPr>
  </w:style>
  <w:style w:type="character" w:customStyle="1" w:styleId="Kop2Char">
    <w:name w:val="Kop 2 Char"/>
    <w:aliases w:val="h2 Char,L2 Char"/>
    <w:basedOn w:val="Standaardalinea-lettertype"/>
    <w:link w:val="Kop2"/>
    <w:rsid w:val="00A32964"/>
    <w:rPr>
      <w:rFonts w:asciiTheme="majorHAnsi" w:eastAsiaTheme="majorEastAsia" w:hAnsiTheme="majorHAnsi" w:cstheme="majorBidi"/>
      <w:b/>
      <w:bCs/>
      <w:color w:val="E7E6E6" w:themeColor="background2"/>
      <w:sz w:val="28"/>
      <w:szCs w:val="26"/>
      <w:lang w:val="en-US"/>
    </w:rPr>
  </w:style>
  <w:style w:type="character" w:customStyle="1" w:styleId="Kop3Char">
    <w:name w:val="Kop 3 Char"/>
    <w:basedOn w:val="Standaardalinea-lettertype"/>
    <w:link w:val="Kop3"/>
    <w:rsid w:val="00A32964"/>
    <w:rPr>
      <w:rFonts w:asciiTheme="majorHAnsi" w:eastAsiaTheme="majorEastAsia" w:hAnsiTheme="majorHAnsi" w:cstheme="majorBidi"/>
      <w:b/>
      <w:bCs/>
      <w:color w:val="000000" w:themeColor="text1"/>
      <w:sz w:val="28"/>
      <w:szCs w:val="20"/>
      <w:lang w:val="en-US"/>
    </w:rPr>
  </w:style>
  <w:style w:type="character" w:customStyle="1" w:styleId="Kop4Char">
    <w:name w:val="Kop 4 Char"/>
    <w:basedOn w:val="Standaardalinea-lettertype"/>
    <w:link w:val="Kop4"/>
    <w:rsid w:val="00A32964"/>
    <w:rPr>
      <w:rFonts w:asciiTheme="majorHAnsi" w:eastAsiaTheme="majorEastAsia" w:hAnsiTheme="majorHAnsi" w:cstheme="majorBidi"/>
      <w:bCs/>
      <w:iCs/>
      <w:sz w:val="24"/>
      <w:szCs w:val="20"/>
      <w:lang w:val="en-US"/>
    </w:rPr>
  </w:style>
  <w:style w:type="character" w:customStyle="1" w:styleId="Kop5Char">
    <w:name w:val="Kop 5 Char"/>
    <w:basedOn w:val="Standaardalinea-lettertype"/>
    <w:link w:val="Kop5"/>
    <w:rsid w:val="00A32964"/>
    <w:rPr>
      <w:rFonts w:asciiTheme="majorHAnsi" w:eastAsiaTheme="majorEastAsia" w:hAnsiTheme="majorHAnsi" w:cstheme="majorBidi"/>
      <w:color w:val="000000" w:themeColor="text1"/>
      <w:sz w:val="24"/>
      <w:szCs w:val="20"/>
      <w:lang w:val="en-US"/>
    </w:rPr>
  </w:style>
  <w:style w:type="character" w:customStyle="1" w:styleId="Kop6Char">
    <w:name w:val="Kop 6 Char"/>
    <w:basedOn w:val="Standaardalinea-lettertype"/>
    <w:link w:val="Kop6"/>
    <w:rsid w:val="00A32964"/>
    <w:rPr>
      <w:rFonts w:asciiTheme="majorHAnsi" w:eastAsiaTheme="majorEastAsia" w:hAnsiTheme="majorHAnsi" w:cstheme="majorBidi"/>
      <w:iCs/>
      <w:color w:val="000000" w:themeColor="text1"/>
      <w:sz w:val="24"/>
      <w:szCs w:val="20"/>
      <w:lang w:val="en-US"/>
    </w:rPr>
  </w:style>
  <w:style w:type="character" w:customStyle="1" w:styleId="Kop7Char">
    <w:name w:val="Kop 7 Char"/>
    <w:basedOn w:val="Standaardalinea-lettertype"/>
    <w:link w:val="Kop7"/>
    <w:rsid w:val="00A32964"/>
    <w:rPr>
      <w:rFonts w:asciiTheme="majorHAnsi" w:eastAsiaTheme="majorEastAsia" w:hAnsiTheme="majorHAnsi" w:cstheme="majorBidi"/>
      <w:iCs/>
      <w:color w:val="000000" w:themeColor="text1"/>
      <w:sz w:val="24"/>
      <w:szCs w:val="20"/>
      <w:lang w:val="en-US"/>
    </w:rPr>
  </w:style>
  <w:style w:type="character" w:customStyle="1" w:styleId="Kop8Char">
    <w:name w:val="Kop 8 Char"/>
    <w:basedOn w:val="Standaardalinea-lettertype"/>
    <w:link w:val="Kop8"/>
    <w:rsid w:val="00A32964"/>
    <w:rPr>
      <w:rFonts w:asciiTheme="majorHAnsi" w:eastAsiaTheme="majorEastAsia" w:hAnsiTheme="majorHAnsi" w:cstheme="majorBidi"/>
      <w:caps/>
      <w:color w:val="000000" w:themeColor="text1"/>
      <w:sz w:val="32"/>
      <w:szCs w:val="20"/>
      <w:lang w:val="en-US"/>
    </w:rPr>
  </w:style>
  <w:style w:type="character" w:customStyle="1" w:styleId="Kop9Char">
    <w:name w:val="Kop 9 Char"/>
    <w:basedOn w:val="Standaardalinea-lettertype"/>
    <w:link w:val="Kop9"/>
    <w:rsid w:val="00A32964"/>
    <w:rPr>
      <w:rFonts w:asciiTheme="majorHAnsi" w:eastAsiaTheme="majorEastAsia" w:hAnsiTheme="majorHAnsi" w:cstheme="majorBidi"/>
      <w:b/>
      <w:iCs/>
      <w:color w:val="E7E6E6" w:themeColor="background2"/>
      <w:sz w:val="28"/>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28346CE7.dotm</Template>
  <TotalTime>3</TotalTime>
  <Pages>2</Pages>
  <Words>604</Words>
  <Characters>3327</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Gitte Laenen</dc:creator>
  <cp:keywords/>
  <dc:description/>
  <cp:lastModifiedBy>Gitte Laenen</cp:lastModifiedBy>
  <cp:revision>1</cp:revision>
  <dcterms:created xsi:type="dcterms:W3CDTF">2019-04-01T18:15:00Z</dcterms:created>
  <dcterms:modified xsi:type="dcterms:W3CDTF">2019-04-01T18:18:00Z</dcterms:modified>
</cp:coreProperties>
</file>